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47C0B">
      <w:pPr>
        <w:keepLines/>
        <w:snapToGrid w:val="0"/>
        <w:spacing w:line="360" w:lineRule="auto"/>
        <w:jc w:val="center"/>
        <w:textAlignment w:val="baseline"/>
        <w:rPr>
          <w:rFonts w:ascii="宋体" w:hAnsi="宋体"/>
          <w:b/>
          <w:kern w:val="44"/>
          <w:sz w:val="44"/>
          <w:szCs w:val="44"/>
          <w:u w:val="none" w:color="auto"/>
        </w:rPr>
      </w:pPr>
      <w:bookmarkStart w:id="0" w:name="_Toc358883241"/>
      <w:r>
        <w:rPr>
          <w:rFonts w:ascii="宋体" w:hAnsi="宋体"/>
          <w:b/>
          <w:kern w:val="44"/>
          <w:sz w:val="44"/>
          <w:szCs w:val="44"/>
          <w:u w:val="none" w:color="auto"/>
        </w:rPr>
        <w:t>询价</w:t>
      </w:r>
      <w:r>
        <w:rPr>
          <w:rFonts w:hint="eastAsia" w:ascii="宋体" w:hAnsi="宋体"/>
          <w:b/>
          <w:kern w:val="44"/>
          <w:sz w:val="44"/>
          <w:szCs w:val="44"/>
          <w:u w:val="none" w:color="auto"/>
        </w:rPr>
        <w:t>邀请</w:t>
      </w:r>
      <w:bookmarkEnd w:id="0"/>
    </w:p>
    <w:p w14:paraId="4346E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为落实《四川省安全生产委员会办公室转发&lt;四川省发展和改革委员会关于牢牢守住项目审批安全红线的通知&gt;的通知》和《四川省教育厅关于落实牢牢守住项目审批安全红线措施的通知》（详见附件）等文件的相关要求，我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就委托有相应资质的安全评价机构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先进轨道交通产教融合实训基地项目安全生产条件和设施综合分析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进行询价采购。</w:t>
      </w:r>
      <w:bookmarkStart w:id="1" w:name="_Toc322589671"/>
    </w:p>
    <w:bookmarkEnd w:id="1"/>
    <w:p w14:paraId="6CAA5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项目概况与招标范围</w:t>
      </w:r>
    </w:p>
    <w:p w14:paraId="3A53A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1.项目概况</w:t>
      </w:r>
    </w:p>
    <w:p w14:paraId="496B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项目名称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：四川铁道职业学院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先进轨道交通产教融合实训基地项目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；项目地点：四川省成都市郫都区安德街道彭温路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399号；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占地面积20701.6平方米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建筑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基底面积5133.03平方米。总建筑面积34000平方米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其中地上建筑面积30120平方米，共7层；地下建筑面积3880平方米，共1层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，估算总投资2亿。</w:t>
      </w:r>
    </w:p>
    <w:p w14:paraId="22ED53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内容</w:t>
      </w:r>
    </w:p>
    <w:p w14:paraId="009771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对四川铁道职业学院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先进轨道交通产教融合实训基地项目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的工程安全质量问题进行分析、评价，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  <w:lang w:eastAsia="zh-CN"/>
        </w:rPr>
        <w:t>编制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  <w:lang w:val="en-US" w:eastAsia="zh-CN"/>
        </w:rPr>
        <w:t>安全生产条件和设施综合分析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  <w:lang w:eastAsia="zh-CN"/>
        </w:rPr>
        <w:t>报告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，对项目是否符合行业规划、国家标准和行业标准等方面提出安全风险评价意见。</w:t>
      </w:r>
    </w:p>
    <w:p w14:paraId="4E38E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编制的安全评价报告或安全综合分析报告需满足《四川省安全生产委员会办公室转发〈四川省发展和改革委员会关于牢牢守住项目审批安全红线的通知〉的通知》《</w:t>
      </w:r>
      <w:bookmarkStart w:id="3" w:name="_GoBack"/>
      <w:bookmarkEnd w:id="3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四川省教育厅关于落实牢牢守住项目审批安全红线措施的通知》文件要求。</w:t>
      </w:r>
    </w:p>
    <w:p w14:paraId="3B80C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81" w:rightChars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bookmarkStart w:id="2" w:name="_Toc322589680"/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3.成果提交时间</w:t>
      </w:r>
    </w:p>
    <w:p w14:paraId="71A1E6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81" w:rightChars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合同签订后20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个日历天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。</w:t>
      </w:r>
      <w:bookmarkEnd w:id="2"/>
    </w:p>
    <w:p w14:paraId="3C941E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项目最高限价</w:t>
      </w:r>
    </w:p>
    <w:p w14:paraId="74751F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450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00元（大写：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肆万伍仟元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整）。报价和中标后的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咨询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费用均以人民币结算和支付。</w:t>
      </w:r>
    </w:p>
    <w:p w14:paraId="3D8F9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二、投标人资格要求</w:t>
      </w:r>
    </w:p>
    <w:p w14:paraId="406B6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color w:val="111111"/>
          <w:sz w:val="32"/>
          <w:szCs w:val="32"/>
          <w:u w:val="none" w:color="auto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要求投标人须具备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由相应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安全生产监督管理部门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颁发的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安全评价资质证书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。</w:t>
      </w:r>
    </w:p>
    <w:p w14:paraId="16FE0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本次</w:t>
      </w:r>
      <w:r>
        <w:rPr>
          <w:rFonts w:hint="eastAsia" w:ascii="方正仿宋_GB2312" w:hAnsi="方正仿宋_GB2312" w:eastAsia="方正仿宋_GB2312" w:cs="方正仿宋_GB2312"/>
          <w:color w:val="111111"/>
          <w:sz w:val="32"/>
          <w:szCs w:val="32"/>
          <w:u w:val="none" w:color="auto"/>
        </w:rPr>
        <w:t>询价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不接受联合体投标。</w:t>
      </w:r>
    </w:p>
    <w:p w14:paraId="661BF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、响应文件的递交</w:t>
      </w:r>
    </w:p>
    <w:p w14:paraId="54F97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leftChars="76" w:firstLine="480" w:firstLineChars="15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递交形式：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将响应文件以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电子扫描件（加盖公章）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形式发送至指定邮箱：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 w:color="auto"/>
          <w:lang w:val="en-US" w:eastAsia="zh-CN"/>
        </w:rPr>
        <w:t>510478915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 w:color="auto"/>
        </w:rPr>
        <w:t>@qq.com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none" w:color="auto"/>
          <w:lang w:eastAsia="zh-CN"/>
        </w:rPr>
        <w:t>。</w:t>
      </w:r>
    </w:p>
    <w:p w14:paraId="1BF7D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" w:leftChars="76" w:firstLine="480" w:firstLineChars="15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文件递交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截止时间：202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:00（北京时间），逾期或不符合规定的询价响应文件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无效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。</w:t>
      </w:r>
    </w:p>
    <w:p w14:paraId="281B38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响应文件包括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并不限于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：报价单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营业执照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资质证书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等。</w:t>
      </w:r>
    </w:p>
    <w:p w14:paraId="1C5C0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投标人提供的询价响应文件，一律采用A4纸张，并加盖公章。</w:t>
      </w:r>
    </w:p>
    <w:p w14:paraId="18DAE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 xml:space="preserve">根据符合采购需求、质量和服务相等且报价最低的原则确定供应商。 </w:t>
      </w:r>
    </w:p>
    <w:p w14:paraId="325C1A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四、联系方式</w:t>
      </w:r>
    </w:p>
    <w:p w14:paraId="149CF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 xml:space="preserve">地  址：四川省成都市郫都区安德街道彭温路399号 </w:t>
      </w:r>
    </w:p>
    <w:p w14:paraId="6A34B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>联系人：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  <w:lang w:eastAsia="zh-CN"/>
        </w:rPr>
        <w:t>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 xml:space="preserve">老师              </w:t>
      </w:r>
    </w:p>
    <w:p w14:paraId="52971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  <w:t xml:space="preserve">电  话：028-68939920  </w:t>
      </w:r>
    </w:p>
    <w:p w14:paraId="022C5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u w:val="none" w:color="auto"/>
        </w:rPr>
      </w:pPr>
    </w:p>
    <w:p w14:paraId="1ECAE8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u w:val="none" w:color="auto"/>
        </w:rPr>
      </w:pP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295AA0-71BD-45E1-B255-044048B781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DC01AA2-E5AE-477F-98D1-FC60DEDA5E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2A9854-865C-4243-9790-D1A2950EDA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652240-599A-414A-A16E-AF8FBA2139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jgzNzQzODhlM2FhYzNkODM5YTBlNmQ3NzViMDgifQ=="/>
  </w:docVars>
  <w:rsids>
    <w:rsidRoot w:val="003E76B2"/>
    <w:rsid w:val="001A6389"/>
    <w:rsid w:val="003E76B2"/>
    <w:rsid w:val="00C97E46"/>
    <w:rsid w:val="00FA3AE0"/>
    <w:rsid w:val="06C3163B"/>
    <w:rsid w:val="0A981354"/>
    <w:rsid w:val="0B662015"/>
    <w:rsid w:val="0DED61F3"/>
    <w:rsid w:val="10BC2049"/>
    <w:rsid w:val="11263033"/>
    <w:rsid w:val="11671785"/>
    <w:rsid w:val="136A64FA"/>
    <w:rsid w:val="142A7BE7"/>
    <w:rsid w:val="201E5705"/>
    <w:rsid w:val="24D46CDA"/>
    <w:rsid w:val="25FD5DBC"/>
    <w:rsid w:val="263B7ADB"/>
    <w:rsid w:val="2710223D"/>
    <w:rsid w:val="2A005C83"/>
    <w:rsid w:val="2A8609F3"/>
    <w:rsid w:val="2AEA08DC"/>
    <w:rsid w:val="2D0A285F"/>
    <w:rsid w:val="2F4C289A"/>
    <w:rsid w:val="33304998"/>
    <w:rsid w:val="39A852AA"/>
    <w:rsid w:val="3A66321F"/>
    <w:rsid w:val="3B5B1163"/>
    <w:rsid w:val="3C7C6B51"/>
    <w:rsid w:val="40FE4FC8"/>
    <w:rsid w:val="442B6C45"/>
    <w:rsid w:val="44D849B1"/>
    <w:rsid w:val="45354367"/>
    <w:rsid w:val="4E5E2364"/>
    <w:rsid w:val="5388027B"/>
    <w:rsid w:val="5737262D"/>
    <w:rsid w:val="5DA315C4"/>
    <w:rsid w:val="60947504"/>
    <w:rsid w:val="6183303E"/>
    <w:rsid w:val="62264CD4"/>
    <w:rsid w:val="6B4F5BCB"/>
    <w:rsid w:val="6FE81A72"/>
    <w:rsid w:val="70A67440"/>
    <w:rsid w:val="724A3704"/>
    <w:rsid w:val="759152CF"/>
    <w:rsid w:val="77B238DE"/>
    <w:rsid w:val="7820611F"/>
    <w:rsid w:val="7BD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919</Characters>
  <Lines>5</Lines>
  <Paragraphs>1</Paragraphs>
  <TotalTime>3</TotalTime>
  <ScaleCrop>false</ScaleCrop>
  <LinksUpToDate>false</LinksUpToDate>
  <CharactersWithSpaces>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2021-05-13T07:30:00Z</dcterms:created>
  <dc:creator>hp</dc:creator>
  <cp:lastModifiedBy>马琴</cp:lastModifiedBy>
  <cp:lastPrinted>2022-05-20T07:54:00Z</cp:lastPrinted>
  <dcterms:modified xsi:type="dcterms:W3CDTF">2026-03-26T04:46:44Z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674BF6095F4B4458AF878F3089A61D48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eyJoZGlkIjoiYTU0MTQxY2VmZTUyYzU0ODNkNGYxYzMzMTI0ZTFmNWIiLCJ1c2VySWQiOiIxNzY2MjYwMTQyIn0=</vt:lpwstr>
  </property>
</Properties>
</file>